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Roboto" w:cs="Roboto" w:eastAsia="Roboto" w:hAnsi="Roboto"/>
          <w:b w:val="1"/>
          <w:color w:val="0d0d0d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3"/>
          <w:szCs w:val="23"/>
          <w:highlight w:val="white"/>
          <w:rtl w:val="0"/>
        </w:rPr>
        <w:t xml:space="preserve">Video aula introdução segundo dia Revolução Russa</w:t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color w:val="0d0d0d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Roboto" w:cs="Roboto" w:eastAsia="Roboto" w:hAnsi="Roboto"/>
          <w:color w:val="0d0d0d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3"/>
          <w:szCs w:val="23"/>
          <w:highlight w:val="white"/>
          <w:rtl w:val="0"/>
        </w:rPr>
        <w:t xml:space="preserve">Clique no link: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REV RUSSA - Lições de Outubro - Introdução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bFVAtkHXarw&amp;list=PLJDALdfR0xX3bzwEKE8qa_lnV9zosrS0n&amp;index=1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